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50"/>
          <w:szCs w:val="50"/>
          <w:highlight w:val="white"/>
        </w:rPr>
      </w:pPr>
      <w:r w:rsidDel="00000000" w:rsidR="00000000" w:rsidRPr="00000000">
        <w:rPr>
          <w:b w:val="1"/>
          <w:sz w:val="50"/>
          <w:szCs w:val="50"/>
          <w:highlight w:val="white"/>
        </w:rPr>
        <w:drawing>
          <wp:inline distB="114300" distT="114300" distL="114300" distR="114300">
            <wp:extent cx="6480000" cy="914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50"/>
          <w:szCs w:val="50"/>
          <w:highlight w:val="white"/>
        </w:rPr>
      </w:pPr>
      <w:r w:rsidDel="00000000" w:rsidR="00000000" w:rsidRPr="00000000">
        <w:rPr>
          <w:b w:val="1"/>
          <w:sz w:val="50"/>
          <w:szCs w:val="50"/>
          <w:highlight w:val="white"/>
          <w:rtl w:val="0"/>
        </w:rPr>
        <w:t xml:space="preserve">ORSZÁG- VÁROS</w:t>
      </w:r>
    </w:p>
    <w:p w:rsidR="00000000" w:rsidDel="00000000" w:rsidP="00000000" w:rsidRDefault="00000000" w:rsidRPr="00000000" w14:paraId="00000003">
      <w:pPr>
        <w:rPr>
          <w:b w:val="1"/>
          <w:sz w:val="50"/>
          <w:szCs w:val="5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30"/>
          <w:szCs w:val="30"/>
          <w:highlight w:val="white"/>
          <w:rtl w:val="0"/>
        </w:rPr>
        <w:t xml:space="preserve">Tartozékok: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50 db kártya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="360" w:lineRule="auto"/>
        <w:ind w:left="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használati útmutató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</w:rPr>
        <w:drawing>
          <wp:inline distB="114300" distT="114300" distL="114300" distR="114300">
            <wp:extent cx="4681182" cy="5312161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182" cy="5312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játék kölcsönzésének adatai: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850"/>
        <w:gridCol w:w="1095"/>
        <w:gridCol w:w="1380"/>
        <w:gridCol w:w="1470"/>
        <w:gridCol w:w="3135"/>
        <w:tblGridChange w:id="0">
          <w:tblGrid>
            <w:gridCol w:w="1470"/>
            <w:gridCol w:w="2850"/>
            <w:gridCol w:w="1095"/>
            <w:gridCol w:w="1380"/>
            <w:gridCol w:w="147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Kölcsönzés dátuma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neve és száma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Átadó könyvtáros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Átvétel ideje, könyvtáros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Hiány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160" w:line="259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160" w:line="259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0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2850"/>
        <w:gridCol w:w="1095"/>
        <w:gridCol w:w="1380"/>
        <w:gridCol w:w="1470"/>
        <w:gridCol w:w="3135"/>
        <w:tblGridChange w:id="0">
          <w:tblGrid>
            <w:gridCol w:w="1470"/>
            <w:gridCol w:w="2850"/>
            <w:gridCol w:w="1095"/>
            <w:gridCol w:w="1380"/>
            <w:gridCol w:w="147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Kölcsönzés dátuma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neve és száma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Olvasó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Átadó könyvtáros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Átvétel ideje, könyvtáros aláírása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Hiány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360" w:lineRule="auto"/>
        <w:rPr>
          <w:rFonts w:ascii="Constantia" w:cs="Constantia" w:eastAsia="Constantia" w:hAnsi="Constantia"/>
          <w:b w:val="1"/>
          <w:sz w:val="40"/>
          <w:szCs w:val="40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b w:val="1"/>
          <w:sz w:val="40"/>
          <w:szCs w:val="40"/>
          <w:highlight w:val="white"/>
          <w:rtl w:val="0"/>
        </w:rPr>
        <w:t xml:space="preserve">Bródy JátékTár</w:t>
      </w:r>
    </w:p>
    <w:p w:rsidR="00000000" w:rsidDel="00000000" w:rsidP="00000000" w:rsidRDefault="00000000" w:rsidRPr="00000000" w14:paraId="0000015A">
      <w:pPr>
        <w:pStyle w:val="Heading1"/>
        <w:keepNext w:val="0"/>
        <w:keepLines w:val="0"/>
        <w:spacing w:after="160" w:before="300" w:line="264" w:lineRule="auto"/>
        <w:jc w:val="both"/>
        <w:rPr>
          <w:rFonts w:ascii="Constantia" w:cs="Constantia" w:eastAsia="Constantia" w:hAnsi="Constantia"/>
          <w:b w:val="1"/>
          <w:sz w:val="38"/>
          <w:szCs w:val="38"/>
          <w:highlight w:val="white"/>
        </w:rPr>
      </w:pPr>
      <w:bookmarkStart w:colFirst="0" w:colLast="0" w:name="_j2y222rhec3f" w:id="0"/>
      <w:bookmarkEnd w:id="0"/>
      <w:r w:rsidDel="00000000" w:rsidR="00000000" w:rsidRPr="00000000">
        <w:rPr>
          <w:rFonts w:ascii="Constantia" w:cs="Constantia" w:eastAsia="Constantia" w:hAnsi="Constantia"/>
          <w:b w:val="1"/>
          <w:sz w:val="38"/>
          <w:szCs w:val="38"/>
          <w:highlight w:val="white"/>
          <w:rtl w:val="0"/>
        </w:rPr>
        <w:t xml:space="preserve">Társasjáték-kölcsönzési szabályzat</w:t>
      </w:r>
    </w:p>
    <w:p w:rsidR="00000000" w:rsidDel="00000000" w:rsidP="00000000" w:rsidRDefault="00000000" w:rsidRPr="00000000" w14:paraId="0000015B">
      <w:pPr>
        <w:spacing w:after="160" w:line="240" w:lineRule="auto"/>
        <w:jc w:val="both"/>
        <w:rPr>
          <w:rFonts w:ascii="Constantia" w:cs="Constantia" w:eastAsia="Constantia" w:hAnsi="Constantia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Kölcsönzéskor, kérjük, tartsd be ezeket a szabályokat, így mindenki boldog lesz.</w:t>
      </w:r>
    </w:p>
    <w:p w:rsidR="00000000" w:rsidDel="00000000" w:rsidP="00000000" w:rsidRDefault="00000000" w:rsidRPr="00000000" w14:paraId="0000015C">
      <w:pPr>
        <w:numPr>
          <w:ilvl w:val="0"/>
          <w:numId w:val="2"/>
        </w:numPr>
        <w:spacing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A társasjáték kölcsönzéséhez érvényes olvasójeggyel kell rendelkezned, illetve meg kell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váltanod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 a Bródy JátékTár tagságot is. Ennek díja 5.000,- Ft/fő/év. 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spacing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Egy alkalommal 1 db társasjátékot kölcsönözhetsz. A kölcsönzési határidő: 4 hét. A kölcsönzés nem hosszabbítható. Késedelem esetén a késedelmi díj: 120,- Ft/nap.</w:t>
      </w:r>
    </w:p>
    <w:p w:rsidR="00000000" w:rsidDel="00000000" w:rsidP="00000000" w:rsidRDefault="00000000" w:rsidRPr="00000000" w14:paraId="0000015E">
      <w:pPr>
        <w:numPr>
          <w:ilvl w:val="0"/>
          <w:numId w:val="2"/>
        </w:numPr>
        <w:spacing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Társasjátékokat két helyről kölcsönözhetsz: a Központi könyvtárból és a Gyermekkönyvtárból. Kérünk, figyelj arra, hogy a játékok a kölcsönzési helyükön kerüljenek visszavételre.</w:t>
      </w:r>
    </w:p>
    <w:p w:rsidR="00000000" w:rsidDel="00000000" w:rsidP="00000000" w:rsidRDefault="00000000" w:rsidRPr="00000000" w14:paraId="0000015F">
      <w:pPr>
        <w:numPr>
          <w:ilvl w:val="0"/>
          <w:numId w:val="2"/>
        </w:numPr>
        <w:spacing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Amennyiben más már elvitte az általad kiszemelt játékot, előjegyzést kérhetsz, hogy Te legyél a következő, aki kipróbálhatja a társast.</w:t>
      </w:r>
    </w:p>
    <w:p w:rsidR="00000000" w:rsidDel="00000000" w:rsidP="00000000" w:rsidRDefault="00000000" w:rsidRPr="00000000" w14:paraId="00000160">
      <w:pPr>
        <w:numPr>
          <w:ilvl w:val="0"/>
          <w:numId w:val="2"/>
        </w:numPr>
        <w:spacing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Vigyázz a játékokra, hogy más is tudjon velük játszani! A kölcsönzés előtt és visszahozatalkor együtt ellenőrizzük a játékot, hogy megvan-e az összes alkotóeleme, illetve azok nem sérültek-e meg.</w:t>
      </w:r>
    </w:p>
    <w:p w:rsidR="00000000" w:rsidDel="00000000" w:rsidP="00000000" w:rsidRDefault="00000000" w:rsidRPr="00000000" w14:paraId="00000161">
      <w:pPr>
        <w:numPr>
          <w:ilvl w:val="0"/>
          <w:numId w:val="2"/>
        </w:numPr>
        <w:spacing w:after="160"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Minden társasjátékban elhelyeztünk egy listát a játék tartozékairól. Ez segít Neked ellenőrizni az elemek meglétét. Ha bármi megsérül egy játékban, vagy hiányzó tartozékot észlelsz, szólj nekünk a visszaadáskor. Sérülés, hiány esetén a társasjátékért teljes anyagi felelősséggel tartozol. Amíg tartozásod nem rendezed, újabb társasjátékot nem kölcsönözhetsz.</w:t>
      </w:r>
    </w:p>
    <w:p w:rsidR="00000000" w:rsidDel="00000000" w:rsidP="00000000" w:rsidRDefault="00000000" w:rsidRPr="00000000" w14:paraId="00000162">
      <w:pPr>
        <w:numPr>
          <w:ilvl w:val="0"/>
          <w:numId w:val="2"/>
        </w:numPr>
        <w:spacing w:after="160"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Számíts rá, hogy a pontos átadás-átvétel időbe telik,  emiatt a játék kölcsönzését a könyvtár zárása előtt 15 perccel jelezd felénk.</w:t>
      </w:r>
    </w:p>
    <w:p w:rsidR="00000000" w:rsidDel="00000000" w:rsidP="00000000" w:rsidRDefault="00000000" w:rsidRPr="00000000" w14:paraId="00000163">
      <w:pPr>
        <w:numPr>
          <w:ilvl w:val="0"/>
          <w:numId w:val="2"/>
        </w:numPr>
        <w:spacing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Mindig hozd vissza a játékokat a kölcsönzés lejártakor, más is szeretné kölcsönözni őket. Hosszabbításra sajnos nincs lehetőség. Köszönjük 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megértésedet</w:t>
      </w: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164">
      <w:pPr>
        <w:numPr>
          <w:ilvl w:val="0"/>
          <w:numId w:val="2"/>
        </w:numPr>
        <w:spacing w:after="160" w:line="240" w:lineRule="auto"/>
        <w:ind w:left="283.46456692913375" w:hanging="360"/>
        <w:jc w:val="both"/>
        <w:rPr>
          <w:rFonts w:ascii="Constantia" w:cs="Constantia" w:eastAsia="Constantia" w:hAnsi="Constantia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Amennyiben a társasjátékot helyben szeretnéd kipróbálni, abban az esetben elég érvényes olvasójeggyel rendelkezned. Helyben használatkor is pontos átadás-átvétel történik.</w:t>
      </w:r>
    </w:p>
    <w:p w:rsidR="00000000" w:rsidDel="00000000" w:rsidP="00000000" w:rsidRDefault="00000000" w:rsidRPr="00000000" w14:paraId="00000165">
      <w:pPr>
        <w:spacing w:after="160" w:line="240" w:lineRule="auto"/>
        <w:ind w:left="283.46456692913375" w:hanging="360"/>
        <w:jc w:val="both"/>
        <w:rPr>
          <w:rFonts w:ascii="Constantia" w:cs="Constantia" w:eastAsia="Constantia" w:hAnsi="Constantia"/>
          <w:sz w:val="32"/>
          <w:szCs w:val="32"/>
          <w:highlight w:val="white"/>
        </w:rPr>
      </w:pPr>
      <w:r w:rsidDel="00000000" w:rsidR="00000000" w:rsidRPr="00000000">
        <w:rPr>
          <w:rFonts w:ascii="Constantia" w:cs="Constantia" w:eastAsia="Constantia" w:hAnsi="Constantia"/>
          <w:sz w:val="32"/>
          <w:szCs w:val="32"/>
          <w:highlight w:val="white"/>
          <w:rtl w:val="0"/>
        </w:rPr>
        <w:t xml:space="preserve">Vedd igénybe más könyvtári szolgáltatásainkat is. </w:t>
      </w:r>
    </w:p>
    <w:p w:rsidR="00000000" w:rsidDel="00000000" w:rsidP="00000000" w:rsidRDefault="00000000" w:rsidRPr="00000000" w14:paraId="00000166">
      <w:pPr>
        <w:spacing w:after="160" w:line="240" w:lineRule="auto"/>
        <w:ind w:left="283.46456692913375" w:hanging="360"/>
        <w:jc w:val="both"/>
        <w:rPr/>
      </w:pPr>
      <w:r w:rsidDel="00000000" w:rsidR="00000000" w:rsidRPr="00000000">
        <w:rPr>
          <w:rFonts w:ascii="Constantia" w:cs="Constantia" w:eastAsia="Constantia" w:hAnsi="Constantia"/>
          <w:i w:val="1"/>
          <w:sz w:val="32"/>
          <w:szCs w:val="32"/>
          <w:highlight w:val="white"/>
          <w:rtl w:val="0"/>
        </w:rPr>
        <w:t xml:space="preserve">TALÁLKOZZUNK A KÖNYVTÁRBAN!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1a355d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